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A" w:rsidRPr="00DC129D" w:rsidRDefault="00BC6AFA" w:rsidP="00DC129D">
      <w:pPr>
        <w:spacing w:before="28" w:after="28"/>
        <w:jc w:val="right"/>
        <w:rPr>
          <w:rFonts w:ascii="Calibri" w:hAnsi="Calibri"/>
          <w:b/>
          <w:color w:val="000000"/>
        </w:rPr>
      </w:pPr>
      <w:bookmarkStart w:id="0" w:name="_GoBack"/>
      <w:bookmarkEnd w:id="0"/>
      <w:r w:rsidRPr="00DC129D">
        <w:rPr>
          <w:rFonts w:ascii="Calibri" w:hAnsi="Calibri"/>
          <w:b/>
          <w:color w:val="000000"/>
        </w:rPr>
        <w:t>PRILOG II.</w:t>
      </w:r>
    </w:p>
    <w:p w:rsidR="00BC6AFA" w:rsidRPr="00DC129D" w:rsidRDefault="00BC6AFA" w:rsidP="00DC129D">
      <w:pPr>
        <w:spacing w:before="28" w:after="28"/>
        <w:jc w:val="both"/>
        <w:rPr>
          <w:rFonts w:asciiTheme="minorHAnsi" w:hAnsiTheme="minorHAnsi"/>
          <w:b/>
          <w:color w:val="000000"/>
        </w:rPr>
      </w:pPr>
      <w:r w:rsidRPr="00DC129D">
        <w:rPr>
          <w:rFonts w:asciiTheme="minorHAnsi" w:hAnsiTheme="minorHAnsi"/>
          <w:b/>
          <w:color w:val="000000"/>
        </w:rPr>
        <w:t>Podnositelj uz popunjeni Obrazac »Prijave za dodjelu potpore« u obvezi je dostaviti:</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a) dokaz o registraciji udruge – Izvadak iz Registra udruga Republike Hrvatske, odnosno izvadak iz drugog odgovarajućeg registra u koji se upisuju druge pravne osobe kada su prihvatljivi prijavitelji (ili njegova preslika) ne stariji od tri mjeseca do dana raspisivanja natječaja iz kojeg je vidljivo da udruga, odnosno druga pravna osoba djeluje najmanje onoliko godina od dana registracije do dana raspisivanja koliko je to propisano uvjetima natječaja</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b) financijski izvještaj udruge i to:</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 za obveznike dvojnog knjigovodstva: preslika godišnjeg Izvještaja o prihodima i rashodima, Bilanca i Bilješke uz financijske izvještaje za prethodnu kalendarsku godinu;</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 za obveznike jednostavnog knjigovodstva: Odluka o vođenju jednostavnog knjigovodstva i primjeni novčanog računovodstvenog načela usvojena od zakonskog zastupnika podnositelja i Godišnji financijski izvještaj o primicima i izdacima za prethodnu kalendarsku godinu</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c) preslika ovjerenog statuta udruge nositeljice programa ili projekta</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d) dokaz o sufinanciranju programa ili projekta od jedinica lokalne ili područne (regionalne) samouprave ili nekih drugih izvora sufinanciranja ako je sufinanciranje iskazano u obrascu proračuna programa ili projekta (preslika odluke i/ili ugovora o sufinanciranju)</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e) uvjerenje nadležnog suda, ne starije od šest mjeseci, da se ne vodi kazneni postupak protiv osobe ovlaštene za zastupanje udruge (koja je potpisala obrasce za prijavu programa ili projekta i koja je ovlaštena potpisati ugovor o financiranju) i voditelja programa ili projekta, a koje se dostavlja najkasnije prije potpisivanja ugovora o financiranju programa ili projekta</w:t>
      </w: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r w:rsidRPr="00DC129D">
        <w:rPr>
          <w:rFonts w:asciiTheme="minorHAnsi" w:hAnsiTheme="minorHAnsi"/>
          <w:color w:val="000000"/>
        </w:rPr>
        <w:br/>
      </w: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p>
    <w:p w:rsidR="00ED5CA6" w:rsidRPr="00BC6AFA" w:rsidRDefault="00DB0FD0" w:rsidP="00BC6AFA">
      <w:pPr>
        <w:suppressAutoHyphens w:val="0"/>
        <w:spacing w:line="240" w:lineRule="auto"/>
        <w:rPr>
          <w:rFonts w:ascii="Calibri" w:hAnsi="Calibri"/>
          <w:color w:val="000000"/>
        </w:rPr>
      </w:pPr>
    </w:p>
    <w:sectPr w:rsidR="00ED5CA6" w:rsidRPr="00BC6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FA"/>
    <w:rsid w:val="0070602F"/>
    <w:rsid w:val="00BC6AFA"/>
    <w:rsid w:val="00CF15CC"/>
    <w:rsid w:val="00D36B15"/>
    <w:rsid w:val="00DB0FD0"/>
    <w:rsid w:val="00DC129D"/>
    <w:rsid w:val="00DC29D5"/>
    <w:rsid w:val="00FD727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FA"/>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uppressAutoHyphens w:val="0"/>
      <w:spacing w:after="120" w:line="240" w:lineRule="auto"/>
      <w:jc w:val="center"/>
    </w:pPr>
    <w:rPr>
      <w:b/>
      <w:kern w:val="0"/>
      <w:sz w:val="40"/>
      <w:szCs w:val="40"/>
      <w:lang w:eastAsia="en-US"/>
    </w:rPr>
  </w:style>
  <w:style w:type="paragraph" w:styleId="Odlomakpopisa">
    <w:name w:val="List Paragraph"/>
    <w:basedOn w:val="Normal"/>
    <w:uiPriority w:val="34"/>
    <w:qFormat/>
    <w:rsid w:val="0070602F"/>
    <w:pPr>
      <w:suppressAutoHyphens w:val="0"/>
      <w:spacing w:line="240" w:lineRule="auto"/>
      <w:ind w:left="708"/>
    </w:pPr>
    <w:rPr>
      <w:rFonts w:eastAsia="SimSun"/>
      <w:snapToGrid w:val="0"/>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FA"/>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uppressAutoHyphens w:val="0"/>
      <w:spacing w:after="120" w:line="240" w:lineRule="auto"/>
      <w:jc w:val="center"/>
    </w:pPr>
    <w:rPr>
      <w:b/>
      <w:kern w:val="0"/>
      <w:sz w:val="40"/>
      <w:szCs w:val="40"/>
      <w:lang w:eastAsia="en-US"/>
    </w:rPr>
  </w:style>
  <w:style w:type="paragraph" w:styleId="Odlomakpopisa">
    <w:name w:val="List Paragraph"/>
    <w:basedOn w:val="Normal"/>
    <w:uiPriority w:val="34"/>
    <w:qFormat/>
    <w:rsid w:val="0070602F"/>
    <w:pPr>
      <w:suppressAutoHyphens w:val="0"/>
      <w:spacing w:line="240" w:lineRule="auto"/>
      <w:ind w:left="708"/>
    </w:pPr>
    <w:rPr>
      <w:rFonts w:eastAsia="SimSun"/>
      <w:snapToGrid w:val="0"/>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GORDANA2</dc:creator>
  <cp:lastModifiedBy>Paulina</cp:lastModifiedBy>
  <cp:revision>2</cp:revision>
  <cp:lastPrinted>2016-01-11T13:53:00Z</cp:lastPrinted>
  <dcterms:created xsi:type="dcterms:W3CDTF">2018-01-02T12:40:00Z</dcterms:created>
  <dcterms:modified xsi:type="dcterms:W3CDTF">2018-01-02T12:40:00Z</dcterms:modified>
</cp:coreProperties>
</file>